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Вопросы респондентов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 какой периодичностью и какими методами обследуются субъекты малого предпринимательства?</w:t>
      </w:r>
    </w:p>
    <w:p>
      <w:pPr>
        <w:rPr/>
      </w:pPr>
      <w:r>
        <w:rPr/>
        <w:t xml:space="preserve">Ответ: В соответствии с Федеральным законом от 24 июля 2007 г. № 209-ФЗ «О развитии малого и среднего предпринимательства в Российской Федерации» обследования субъектов малого предпринимательства проводятся в форме сплошных наблюдений за деятельностью субъектов малого и среднего предпринимательства – 1 раз в пять лет и текущих выборочных наблюдений на основе представительной (репрезентативной) выборки – ежеквартально. Выборочные совокупности малых предприятий, микропредприятий, индивидуальных предпринимателей для участия в обследованиях формируются ежегодно по специально разработанному алгоритму. Малые предприятия, попавшие в выборочную совокупность текущего года, ежеквартально заполняют унифицированную форму федерального статистического наблюдения № ПМ «Сведения об основных показателях деятельности малого предприятия». Микропредприятия и индивидуальные предприниматели обследуются на ежегодной основе по формам № МП(микро) «Сведения об основных показателях деятельности микропредприятия» и № 1-ИП «Сведения о деятельности индивидуального предпринимателя». Кроме того, ими заполняются специализированные формы статистических наблюдений (например, в сфере торговли, строительства и др.) при отборе их для участия в данных обследованиях. Не попавшие в выборки малые и микропредприятия – юридические лица предоставляют в органы статистики только годовую бухгалтерскую отчетность (баланс и отчет о финансовых результатах), индивидуальные предприниматели не отчитываются.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Каким образом малое предприятие узнает, что должно отчитываться по статистической форме?</w:t>
      </w:r>
    </w:p>
    <w:p>
      <w:pPr>
        <w:rPr/>
      </w:pPr>
      <w:r>
        <w:rPr/>
        <w:t xml:space="preserve">Ответ: Информация об участии в выборочном обследовании и о необходимости предоставления статистических форм доводится до всех малых предприятий – объектов статистического наблюдения территориальными органами Росстата в начале отчетного года в письменной форме, по телефону или электронной почтой. Кроме того, списки малых и микропредприятий, попавших в выборочную совокупность для обследований, размещаются на сайтах территориальных органов Росстата.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 какой периодичностью и по каким формам отчитываются микропредприятия?</w:t>
      </w:r>
    </w:p>
    <w:p>
      <w:pPr>
        <w:rPr/>
      </w:pPr>
      <w:r>
        <w:rPr/>
        <w:t xml:space="preserve">Ответ: Микропредприятия обследуются только с годовой периодичностью (кроме тех лет, когда проводится сплошное наблюдение за деятельностью субъектов малого и среднего предпринимательства). Попавшие в выборку микропредприятия обследуются по форме федерального статистического наблюдения № МП (микро) «Сведения об основных показателях деятельности микропредприятия».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на Интернет-портале Росстата для нашей организации сформировался перечень форм федерального статистического наблюдения как для крупной организации, хотя в соответствии с критериями отнесения к субъектам малого и среднего предпринимательства мы являемся субъектом малого бизнеса?</w:t>
      </w:r>
    </w:p>
    <w:p>
      <w:pPr>
        <w:rPr/>
      </w:pPr>
      <w:r>
        <w:rPr/>
        <w:t xml:space="preserve">Ответ: Сведения о юридических лицах, отвечающих условиям отнесения к субъектам малого и среднего предпринимательства (ст.4 Федерального закона от 24 июля 2007 г.        № 209-ФЗ «О развитии малого и среднего предпринимательства в Российской Федерации»), вносятся в единый реестр субъектов малого и среднего предпринимательства (ЕРМСП), ведение которого осуществляет федеральный орган исполнительной власти, осуществляющий функции по контролю и надзору за соблюдением законодательства о налогах и сборах (Федеральная налоговая служба).  Возможно Ваша организация была исключена из ЕРМСП в соответствии с п.5 ч.5 ст. 4.1 Федерального закона от 24 июля 2007 г. № 209-ФЗ: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В случае исключения предприятия из ЕРМСП оно попадает в категорию «коммерческая организация, не являющаяся субъектом малого или среднего предпринимательства», поэтому на Интернет-портале Росстата для Вашей организации сформировался перечень форм для крупной организации.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Каким организациям Челябинскстат  рассылает письма с перечнем форм федерального статистического наблюдения, по которым они должны отчитываться?</w:t>
      </w:r>
    </w:p>
    <w:p>
      <w:pPr>
        <w:rPr/>
      </w:pPr>
      <w:r>
        <w:rPr/>
        <w:t xml:space="preserve">Ответ: В соответствии с пунктом 4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утвержденного постановлением Правительства Российской Федерации от 18 августа 2008 г. N 620, территориальные органы Росстата обязаны проинформировать (в том числе в письменной форме) респондентов о проведении в отношении их федерального статистического наблюдения.  Информирование респондентов осуществляется путем размещения перечней форм федерального статистического наблюдения в информационно-поисковой системе на Интернет-портале Росстата. Направление информационного письма о проведении в отношении хозяйствующего субъекта федерального статистического наблюдения, как правило, осуществляется респондентам, включенным в выборочные обследования (наблюдения).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классификаторы ОКВЭД2, ОКПД2?</w:t>
      </w:r>
    </w:p>
    <w:p>
      <w:pPr>
        <w:rPr/>
      </w:pPr>
      <w:r>
        <w:rPr/>
        <w:t xml:space="preserve">Ответ: Классификаторы ОКВЭД2 и ОКПД2 расположены на Интернет-портале Челябинскстата в разделе «Отчетность» в подразделе «Респондентам» в рубрике «Общероссийские классификаторы».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быстро получить идентификационный номер для сдачи статистической отчетности по обособленному подразделению?</w:t>
      </w:r>
    </w:p>
    <w:p>
      <w:pPr>
        <w:rPr/>
      </w:pPr>
      <w:r>
        <w:rPr/>
        <w:t xml:space="preserve">Ответ: Для присвоения идентификационного номера обособленному подразделению необходимо направить запрос в адрес Челябинскстата. Запрос пишется в произвольной форме на фирменном бланке организации с указанием наименования и адреса обособленного подразделения и подписывается руководителем организации. К запросу (при наличии) прилагается сканированная копия Уведомления Федеральной налоговой службы о постановке обособленного подразделения на учет. Вышеуказанные документы высылаются в Челябинскстат по электронной почте (74@rosstat.gov.ru) или Почтой России.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Организация сменила вид деятельности и внесла соответствующие изменения в регистрирующем органе. Когда изменится код ОКВЭД фактического вида деятельности этой организации в Статрегистре Росстата?</w:t>
      </w:r>
    </w:p>
    <w:p>
      <w:pPr>
        <w:rPr/>
      </w:pPr>
      <w:r>
        <w:rPr/>
        <w:t xml:space="preserve">Ответ: Согласно методологии  ведения АС ГС ОФСН, утвержденной приказом Росстата от 12 декабря 2016 г. № 786, код ОКВЭД фактического вида деятельности хозяйствующим субъектам устанавливается в начале отчетного года, в течение которого корректировке не подлежит. Он определяется в соответствии с порядком, утвержденным приказом Росстата от 31 декабря 2014 г. № 742 «О методических указаниях по определению основного вида экономической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Согласно методическим указаниям код ОКВЭД основного вида деятельности устанавливается на основе предоставленной статистической отчетности за прошлый отчетный год, кроме органов государственной власти, бюджетных, финансовых, страховых и общественных организаций. Им устанавливается ОКВЭД основного вида деятельности по учредительным документам. Хозяйствующим субъектам, не являвшимся в прошлом отчетном году  объектами федерального статистического наблюдения, код ОКВЭД основного вида деятельности устанавливается соответственно заявленному в регистрирующем  органе. Таким   образом,   в   случаях   перехода   хозяйствующего  субъекта   на  новый    вид  деятельности и (или) изменения заявленного вида деятельности в регистрирующем органе в течение года, в АС ГС ОФСН код ОКВЭД фактического вида деятельности будет изменен с 1 января следующего года.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Какие формы федерального статистического наблюдения должны предоставлять в органы государственной статистики крестьянские (фермерские) хозяйства?</w:t>
      </w:r>
    </w:p>
    <w:p>
      <w:pPr>
        <w:rPr/>
      </w:pPr>
      <w:r>
        <w:rPr/>
        <w:t xml:space="preserve">Ответ: Крестьянские (фермерские) хозяйства предоставляют в органы государственной статистики следующие формы статистической отчетности: № 1-фермер "Сведения об итогах сева под урожай" - годовая (срок предоставления - до 11 июня); № 2-фермер "Сведения о сборе урожая сельскохозяйственных культур" - годовая (срок предоставления - 2 ноября); № 3-фермер "Сведения о производстве продукции животноводства и поголовье скота" - годовая (срок предоставления - 6 января).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Какой код Территориального органа Федеральной службы государственной статистики по Челябинской области необходимо указывать при отправке статистической отчетности в Челябинскстат в электронном виде через специализированных операторов связи?</w:t>
      </w:r>
    </w:p>
    <w:p>
      <w:pPr>
        <w:rPr/>
      </w:pPr>
      <w:r>
        <w:rPr/>
        <w:t xml:space="preserve">Ответ: Для отправки статистической отчетности в адрес Челябинскстата через специализированных операторов связи необходимо указать код 74-00.</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можно проверить поступил отчет в Челябинскстат или нет, если организация отправила статистическую отчетность в электронном виде через специализированного оператора?</w:t>
      </w:r>
    </w:p>
    <w:p>
      <w:pPr>
        <w:rPr/>
      </w:pPr>
      <w:r>
        <w:rPr/>
        <w:t xml:space="preserve">Ответ: Проверить состояние отчетности, отправленной в электронном виде, можно по телефону (351) 214-63-12 доб. 4209.</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Что делать, если не устанавливается программа off-line ввода отчетности?</w:t>
      </w:r>
    </w:p>
    <w:p>
      <w:pPr>
        <w:rPr/>
      </w:pPr>
      <w:r>
        <w:rPr/>
        <w:t xml:space="preserve">Ответ: Необходимо установить программное средство NET Framework 3.5 SP1.</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 какому коду ОКОФ относится тот или иной объект основных фондов в соответствии с новым классификатором?</w:t>
      </w:r>
    </w:p>
    <w:p>
      <w:pPr>
        <w:rPr/>
      </w:pPr>
      <w:r>
        <w:rPr/>
        <w:t xml:space="preserve">Ответ: Письмом от 30 декабря 2016 г. № 02-08-07/79584 Минфин России разъясняет,  что  консультирование  заинтересованных  лиц  по  вопросам  перехода  на  новую редакцию ОКОФ находится в компетенции Федерального агентства по техническому регулированию и метрологии (Росстандарт). В целях перехода от применения старого ОКОФ ОК 013-94 к новому классификатору ОК 013-2014 (СНС 2008) в 2017 году приказом Росстандарта от 21 апреля 2016 г. № 458 разработаны прямые и обратные ключи между их редакциями.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Учитывается ли инвестиционное имущество в форме № 11 «Сведения о наличии и движении основных фондов (средств) и других нефинансовых активов»?</w:t>
      </w:r>
    </w:p>
    <w:p>
      <w:pPr>
        <w:rPr/>
      </w:pPr>
      <w:r>
        <w:rPr/>
        <w:t xml:space="preserve">Ответ: В соответствии с письмом Росстата от 10 апреля 2018 г. № 02-02-6/1784-ТО основные фонды, находящиеся на счетах: - 619 «Инвестиционное имущество (кроме земли)» для некредитных организаций, - 619 «Недвижимость, временно неиспользуемая в основной деятельности» для кредитных организаций, - 62101 «Средства труда, полученные по договорам отступного, залога, назначение которых не определено» в кредитных и некредитных финансовых организациях должны быть включены в отчет по форме № 11 по соответствующим строкам, поскольку на указанных счетах отражаются активы, признанные организацией и оцененные.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 форме федерального статистического наблюдения № 11-НА «Сведения о наличии, движении и составе контрактов, договоров аренды, лицензий, маркетинговых активов и гудвилла (деловой репутации организации)» должны отражаться только обращающиеся контракты, договоры аренды и лицензии. Какие же активы относятся к обращающимся?</w:t>
      </w:r>
    </w:p>
    <w:p>
      <w:pPr>
        <w:rPr/>
      </w:pPr>
      <w:r>
        <w:rPr/>
        <w:t xml:space="preserve">Ответ: Обращающимися контрактами, договорами аренды и лицензиями являются такие активы, право юридической собственности на которые может быть легко передано от одной единицы другой единице без значительных дополнительных затрат. Ключевыми факторами при отнесении активов к обращающимся являются: - наличие у собственника актива юридического права на отчуждение актива; - наличие ликвидного рынка контрактов, договоров аренды и лицензий; - затраты на реализацию актива незначительны.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Разъясните принцип расчета среднемесячной номинальной начисленной заработной платы работников?</w:t>
      </w:r>
    </w:p>
    <w:p>
      <w:pPr>
        <w:rPr/>
      </w:pPr>
      <w:r>
        <w:rPr/>
        <w:t xml:space="preserve">Ответ: Среднемесячная номинальная начисленная заработная плата работников организаций Челябинской области осуществляется на основании данных федерального статистического наблюдения по форме № П-4 «Сведения о численности и заработной плате работников». Этот  показатель  рассчитывается  делением  фонда  начисленной  заработной  всех работников (списочного состава и лиц, работающих в организации на условиях внешнего совместительства) в регионе на среднесписочную численность работников и на число месяцев в периоде.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исчисляются человеко-часы работника за отработанное время?</w:t>
      </w:r>
    </w:p>
    <w:p>
      <w:pPr>
        <w:rPr/>
      </w:pPr>
      <w:r>
        <w:rPr/>
        <w:t xml:space="preserve">Ответ: Человеко-часы работника организации за отработанное время исчисляется путем умножения количества недель в месяце на установленную продолжительность рабочей недели (например, на 40 часов или 36 часов) и на число месяцев в периоде, включая сверхурочные и отработанные в праздничные (нерабочие) и выходные (по графику) дни (согласно Указаниям по заполнению формы федерального статистического наблюдения № П-4 «Сведения о численности и заработной плате работников», утвержденные приказом Росстата от 26 октября 2015 г. № 498, п.84).</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наша семья попала в обследование по рабочей силе?</w:t>
      </w:r>
    </w:p>
    <w:p>
      <w:pPr>
        <w:rPr/>
      </w:pPr>
      <w:r>
        <w:rPr/>
        <w:t xml:space="preserve">Ответ: Федеральное статистическое обследование рабочей силы является выборочным  (Приказ Росстата от 1 сентября 2017 г. № 566). Выборка формируется на основе первичного информационного массива Всероссийской переписи населения (ВПН – 2010), содержащего сведения о постоянном населении, т.е. населении, постоянно проживающем на территории соответствующего района, города, населенного пункта. В данном обследовании единицами отбора являются частные домашние хозяйства, а единицами наблюдения – лица в возрасте от 15 лет и старше, члены этих домашних хозяйств.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О статистике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Какие сроки выпуска официальных статистических публикаций Челябинскстата и оперативных статистических данных?</w:t>
      </w:r>
    </w:p>
    <w:p>
      <w:pPr>
        <w:rPr/>
      </w:pPr>
      <w:r>
        <w:rPr/>
        <w:t xml:space="preserve">Ответ: Периодичность и сроки выпуска официальных статистических публикаций установлены Федеральным планом статистических работ, утвержденным распоряжением Правительства Российской Федерации от 6 мая 2008 г. № 671-р.,  так же как и сроки выхода официальной статистической информации, в том числе оперативной. Сроки выпуска на текущий год отражены в «Календаре выпуска публикаций», который размещен на Интернет-портале Челябинскстата в  разделе «Публикации». Оперативные статистические данные публикуются в ежемесячно издаваемых публикациях: докладе «Социально-экономическое положение Челябинской области», бюллетене «Краткосрочные экономические показатели Челябинской области», электронные версии которых размещены на Интернет-портале Челябинскстата по адресу: \\Публикации\Официальные публикации Челябинскстата.  Наиболее оперативно данные Челябинскстата публикуются в срочных информациях и справках по актуальным вопросам в разделе «Публикации» Интернет-портала Челябинскстата.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размещается информация по инфляции в Российской Федерации?</w:t>
      </w:r>
    </w:p>
    <w:p>
      <w:pPr>
        <w:rPr/>
      </w:pPr>
      <w:r>
        <w:rPr/>
        <w:t xml:space="preserve">Ответ: В соответствии с Федеральным планом статистических работ органы государственной статистики разрабатывают показатель Индекс потребительских цен на товары и услуги (ИПЦ), который используется в качестве одного из основных показателей, характеризующих уровень инфляции в субъектах российской Федерации и Российской Федерации в целом. Официальная статистическая информация об ИПЦ по Российской Федерации не размещается на Интернет-портале Челябинскстата, она  размещается на Интернет-портале Росстата ежемесячно на 6-й рабочий день после отчетного периода. Кроме того, информация размещается в Единой межведомственной информационно-статистической системе (ЕМИСС) по адресу: http://www.fedstat.ru \ Федеральная служба государственной статистики \ Цены и тарифы \ Индексы потребительских цен (тарифов) на продовольственные, непродовольственные товары и услуги \ Индексы потребительских цен на товары и услуги. В ЕМИСС информация ежемесячно обновляется на 6-й рабочий день после отчетного периода.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Можно ли узнать в Челябинскстате информацию о численности населения поселков и микрорайонов города Челябинска?</w:t>
      </w:r>
    </w:p>
    <w:p>
      <w:pPr>
        <w:rPr/>
      </w:pPr>
      <w:r>
        <w:rPr/>
        <w:t xml:space="preserve">Ответ: Информацией о численности населения микрорайонов города Челябинска, а также отдельных домов и улиц Челябинскстат не располагает.  Расчет численности постоянного населения осуществляется в пределах границ муниципальных образований Челябинской области. Перечень и границы муниципальных образований утверждаются в установленном порядке в соответствии с действующим законодательством. В настоящее время границы муниципальных образований установлены Постановлением Законодательного Собрания Челябинской области от 25 мая 2006 г. № 161 "Об утверждении перечня муниципальных образований (административно-территориальных единиц) Челябинской области и населенных пунктов, входящих в их состав».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Можно ли узнать в Челябинскстате информацию о численности населения сельских населенных пунктов (деревни, села, поселки) Челябинской области на текущую дату и где её посмотреть?</w:t>
      </w:r>
    </w:p>
    <w:p>
      <w:pPr>
        <w:rPr/>
      </w:pPr>
      <w:r>
        <w:rPr/>
        <w:t xml:space="preserve">Ответ: Сведениями о численности постоянного населения сельских населенных пунктов органы государственной статистики располагают только по данным Всероссийских переписей населения.  Численность постоянного населения органы статистики получают расчетным путем, опираясь на данные последней переписи и текущего учета движения населения. В межпереписной период численность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численности населения в результате муниципально-территориальных преобразований в течение предыдущего года. Официальная статистическая информация о численности населения по всем сельским населенным пунктам по итогам Всероссийской переписи населения 2010 года размещена в открытом доступе на Интернет-портале Челябинскстата.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на Интернет-портале Челябинскстата информацию о производстве, отгрузке, остатках отдельных видов продукции в натуральном выражении в разрезе предприятий?</w:t>
      </w:r>
    </w:p>
    <w:p>
      <w:pPr>
        <w:rPr/>
      </w:pPr>
      <w:r>
        <w:rPr/>
        <w:t xml:space="preserve">Ответ: Федеральным планом статистических работ, утвержденным распоряжением Правительства Российской Федерации от 6 мая 2008 г. № 671-р, формирование официальной статистической информации о производстве продукции в разрезе предприятий  не  предусмотрено.  Это  продиктовано  требованием  Федерального закона от 29   ноября   2007  г.  №  282-ФЗ   «Об   официальном   статистическом   учете   и   системе государственной статистики в Российской Федерации» (п.5 ст.4, ч.1 ст.9), согласно которому первичные статистические  данные,  являющиеся информацией ограниченного доступа,  не подлежат разглашению или распространению и используются только в целях формирования официальной (сводной агрегированной) статистической информации.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Прошу заверить печатью ответ Челябинскстата на мой запрос.</w:t>
      </w:r>
    </w:p>
    <w:p>
      <w:pPr>
        <w:rPr/>
      </w:pPr>
      <w:r>
        <w:rPr/>
        <w:t xml:space="preserve">Ответ: В соответствии с п. 5.24. приказа Росстандарта от 8 декабря 2016 г. № 2004-ст «Об утверждении Национального стандарта Российской Федерации» (ГОСТ Р 7.0.97-2016) 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 печатью в соответствии с законодательством Российской Федерации. Предоставляемая официальная статистическая информация оформляется на бланке установленной формы и не требует заверения печатью подписи должностного лица Территориального органа Федеральной службы государственной статистики по Челябинской области.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Противодействие коррупции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я могу сообщить о факте коррупции?</w:t>
      </w:r>
    </w:p>
    <w:p>
      <w:pPr>
        <w:rPr/>
      </w:pPr>
      <w:r>
        <w:rPr/>
        <w:t xml:space="preserve">Ответ: О факте коррупции Вы можете сообщить следующим образом. Позвонить по телефону или написать электронное письмо на электронный адрес: 74.01@rosstat.gov.ru Телефон доверия о фактах проявления коррупции в деятельности Челябинскстата (8351) 265-55-33 (прием обращений в автоматическом режиме с записью сообщения на автоответчик). Ответственный за антикоррупционную политику: Должукова Марина Николаевна тел. (8351) 214-63-01 доб. 3201</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810054">
    <w:multiLevelType w:val="hybridMultilevel"/>
    <w:lvl w:ilvl="0" w:tplc="13819515">
      <w:start w:val="1"/>
      <w:numFmt w:val="decimal"/>
      <w:lvlText w:val="%1."/>
      <w:lvlJc w:val="left"/>
      <w:pPr>
        <w:ind w:left="720" w:hanging="360"/>
      </w:pPr>
    </w:lvl>
    <w:lvl w:ilvl="1" w:tplc="13819515" w:tentative="1">
      <w:start w:val="1"/>
      <w:numFmt w:val="lowerLetter"/>
      <w:lvlText w:val="%2."/>
      <w:lvlJc w:val="left"/>
      <w:pPr>
        <w:ind w:left="1440" w:hanging="360"/>
      </w:pPr>
    </w:lvl>
    <w:lvl w:ilvl="2" w:tplc="13819515" w:tentative="1">
      <w:start w:val="1"/>
      <w:numFmt w:val="lowerRoman"/>
      <w:lvlText w:val="%3."/>
      <w:lvlJc w:val="right"/>
      <w:pPr>
        <w:ind w:left="2160" w:hanging="180"/>
      </w:pPr>
    </w:lvl>
    <w:lvl w:ilvl="3" w:tplc="13819515" w:tentative="1">
      <w:start w:val="1"/>
      <w:numFmt w:val="decimal"/>
      <w:lvlText w:val="%4."/>
      <w:lvlJc w:val="left"/>
      <w:pPr>
        <w:ind w:left="2880" w:hanging="360"/>
      </w:pPr>
    </w:lvl>
    <w:lvl w:ilvl="4" w:tplc="13819515" w:tentative="1">
      <w:start w:val="1"/>
      <w:numFmt w:val="lowerLetter"/>
      <w:lvlText w:val="%5."/>
      <w:lvlJc w:val="left"/>
      <w:pPr>
        <w:ind w:left="3600" w:hanging="360"/>
      </w:pPr>
    </w:lvl>
    <w:lvl w:ilvl="5" w:tplc="13819515" w:tentative="1">
      <w:start w:val="1"/>
      <w:numFmt w:val="lowerRoman"/>
      <w:lvlText w:val="%6."/>
      <w:lvlJc w:val="right"/>
      <w:pPr>
        <w:ind w:left="4320" w:hanging="180"/>
      </w:pPr>
    </w:lvl>
    <w:lvl w:ilvl="6" w:tplc="13819515" w:tentative="1">
      <w:start w:val="1"/>
      <w:numFmt w:val="decimal"/>
      <w:lvlText w:val="%7."/>
      <w:lvlJc w:val="left"/>
      <w:pPr>
        <w:ind w:left="5040" w:hanging="360"/>
      </w:pPr>
    </w:lvl>
    <w:lvl w:ilvl="7" w:tplc="13819515" w:tentative="1">
      <w:start w:val="1"/>
      <w:numFmt w:val="lowerLetter"/>
      <w:lvlText w:val="%8."/>
      <w:lvlJc w:val="left"/>
      <w:pPr>
        <w:ind w:left="5760" w:hanging="360"/>
      </w:pPr>
    </w:lvl>
    <w:lvl w:ilvl="8" w:tplc="13819515" w:tentative="1">
      <w:start w:val="1"/>
      <w:numFmt w:val="lowerRoman"/>
      <w:lvlText w:val="%9."/>
      <w:lvlJc w:val="right"/>
      <w:pPr>
        <w:ind w:left="6480" w:hanging="180"/>
      </w:pPr>
    </w:lvl>
  </w:abstractNum>
  <w:abstractNum w:abstractNumId="40810053">
    <w:multiLevelType w:val="hybridMultilevel"/>
    <w:lvl w:ilvl="0" w:tplc="47193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810053">
    <w:abstractNumId w:val="40810053"/>
  </w:num>
  <w:num w:numId="40810054">
    <w:abstractNumId w:val="408100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