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7D" w:rsidRDefault="00BA487D">
      <w:pPr>
        <w:rPr>
          <w:rFonts w:ascii="Arial" w:hAnsi="Arial" w:cs="Arial"/>
          <w:b/>
          <w:bCs/>
          <w:caps/>
          <w:sz w:val="20"/>
          <w:szCs w:val="20"/>
        </w:rPr>
      </w:pPr>
    </w:p>
    <w:p w:rsidR="00BA487D" w:rsidRDefault="009722FB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ЧИСЛЕННОСТЬ НАСЕЛЕНИЯ ЧЕЛЯБИНСКОЙ ОБЛАСТИ С ДЕНЕЖНЫМИ ДОХОДАМИ НИЖЕ ВЕЛИЧИНЫ ПРОЖИТОЧНОГО МИНИМУМА И ДЕФИЦИТ ДЕНЕЖНОГО ДОХОДА с 1994-2020 гг.</w:t>
      </w:r>
    </w:p>
    <w:p w:rsidR="00BA487D" w:rsidRDefault="00BA487D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5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1534"/>
        <w:gridCol w:w="1727"/>
        <w:gridCol w:w="1559"/>
        <w:gridCol w:w="1586"/>
        <w:gridCol w:w="1692"/>
      </w:tblGrid>
      <w:tr w:rsidR="00BA487D" w:rsidTr="007C5AC4">
        <w:trPr>
          <w:trHeight w:val="20"/>
        </w:trPr>
        <w:tc>
          <w:tcPr>
            <w:tcW w:w="804" w:type="pct"/>
            <w:vMerge w:val="restart"/>
            <w:shd w:val="clear" w:color="auto" w:fill="FFFFFF"/>
            <w:vAlign w:val="center"/>
          </w:tcPr>
          <w:p w:rsidR="00BA487D" w:rsidRDefault="00BA487D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bookmarkStart w:id="0" w:name="_GoBack" w:colFirst="3" w:colLast="3"/>
          </w:p>
        </w:tc>
        <w:tc>
          <w:tcPr>
            <w:tcW w:w="1690" w:type="pct"/>
            <w:gridSpan w:val="2"/>
            <w:shd w:val="clear" w:color="auto" w:fill="FFFFFF"/>
          </w:tcPr>
          <w:p w:rsidR="00BA487D" w:rsidRDefault="009722FB" w:rsidP="007C5AC4">
            <w:pPr>
              <w:jc w:val="center"/>
            </w:pPr>
            <w:r>
              <w:t>Численность населения с денежными доходами ниже величины прожиточного минимума</w:t>
            </w:r>
            <w:r>
              <w:rPr>
                <w:vertAlign w:val="superscript"/>
              </w:rPr>
              <w:t>1)2)</w:t>
            </w:r>
          </w:p>
        </w:tc>
        <w:tc>
          <w:tcPr>
            <w:tcW w:w="1630" w:type="pct"/>
            <w:gridSpan w:val="2"/>
            <w:shd w:val="clear" w:color="auto" w:fill="FFFFFF"/>
          </w:tcPr>
          <w:p w:rsidR="00BA487D" w:rsidRDefault="009722FB" w:rsidP="007C5AC4">
            <w:pPr>
              <w:ind w:left="-134" w:right="-56"/>
              <w:jc w:val="center"/>
            </w:pPr>
            <w:r>
              <w:t>Дефицит денежного дохода</w:t>
            </w:r>
            <w:r>
              <w:rPr>
                <w:vertAlign w:val="superscript"/>
              </w:rPr>
              <w:t>1)</w:t>
            </w:r>
            <w:r>
              <w:rPr>
                <w:vertAlign w:val="superscript"/>
              </w:rPr>
              <w:t>2)</w:t>
            </w:r>
          </w:p>
        </w:tc>
        <w:tc>
          <w:tcPr>
            <w:tcW w:w="877" w:type="pct"/>
            <w:vMerge w:val="restart"/>
            <w:shd w:val="clear" w:color="auto" w:fill="FFFFFF"/>
          </w:tcPr>
          <w:p w:rsidR="00BA487D" w:rsidRDefault="009722FB" w:rsidP="007C5AC4">
            <w:pPr>
              <w:jc w:val="center"/>
            </w:pPr>
            <w:r>
              <w:t>Величина прожиточного минимума</w:t>
            </w:r>
            <w:r>
              <w:rPr>
                <w:vertAlign w:val="superscript"/>
              </w:rPr>
              <w:t>3)</w:t>
            </w:r>
            <w:r>
              <w:t xml:space="preserve"> руб. в месяц; до 1998 г. – тыс. руб.</w:t>
            </w:r>
          </w:p>
        </w:tc>
      </w:tr>
      <w:bookmarkEnd w:id="0"/>
      <w:tr w:rsidR="00BA487D" w:rsidTr="007C5AC4">
        <w:trPr>
          <w:trHeight w:val="1789"/>
        </w:trPr>
        <w:tc>
          <w:tcPr>
            <w:tcW w:w="804" w:type="pct"/>
            <w:vMerge/>
            <w:shd w:val="clear" w:color="auto" w:fill="CCFFFF"/>
            <w:vAlign w:val="center"/>
          </w:tcPr>
          <w:p w:rsidR="00BA487D" w:rsidRDefault="00BA48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5" w:type="pct"/>
            <w:shd w:val="clear" w:color="auto" w:fill="FFFFFF"/>
          </w:tcPr>
          <w:p w:rsidR="00BA487D" w:rsidRDefault="009722FB" w:rsidP="007C5AC4">
            <w:pPr>
              <w:jc w:val="center"/>
            </w:pPr>
            <w:r>
              <w:t>тыс. человек</w:t>
            </w:r>
          </w:p>
        </w:tc>
        <w:tc>
          <w:tcPr>
            <w:tcW w:w="895" w:type="pct"/>
            <w:shd w:val="clear" w:color="auto" w:fill="FFFFFF"/>
          </w:tcPr>
          <w:p w:rsidR="00BA487D" w:rsidRDefault="009722FB" w:rsidP="007C5AC4">
            <w:pPr>
              <w:jc w:val="center"/>
            </w:pPr>
            <w:r>
              <w:t>в процентах от общей численности населения</w:t>
            </w:r>
          </w:p>
        </w:tc>
        <w:tc>
          <w:tcPr>
            <w:tcW w:w="808" w:type="pct"/>
            <w:shd w:val="clear" w:color="auto" w:fill="FFFFFF"/>
          </w:tcPr>
          <w:p w:rsidR="00BA487D" w:rsidRDefault="009722FB" w:rsidP="007C5AC4">
            <w:pPr>
              <w:jc w:val="center"/>
            </w:pPr>
            <w:r>
              <w:t>млн руб. в месяц (до 1998 г. – млрд руб.)</w:t>
            </w:r>
          </w:p>
        </w:tc>
        <w:tc>
          <w:tcPr>
            <w:tcW w:w="822" w:type="pct"/>
            <w:shd w:val="clear" w:color="auto" w:fill="FFFFFF"/>
          </w:tcPr>
          <w:p w:rsidR="00BA487D" w:rsidRDefault="009722FB" w:rsidP="007C5AC4">
            <w:pPr>
              <w:jc w:val="center"/>
            </w:pPr>
            <w:r>
              <w:t>в процентах от общего объема денежных доходов населения</w:t>
            </w:r>
          </w:p>
        </w:tc>
        <w:tc>
          <w:tcPr>
            <w:tcW w:w="877" w:type="pct"/>
            <w:vMerge/>
            <w:shd w:val="clear" w:color="auto" w:fill="CCFFFF"/>
            <w:vAlign w:val="center"/>
          </w:tcPr>
          <w:p w:rsidR="00BA487D" w:rsidRDefault="00BA487D"/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1994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1042,2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28,3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…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…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89427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1995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1030,7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27,9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82314,7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4,8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253690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1996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1004,4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27,2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97894,1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4,6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334581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1997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812,9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22,1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104957,1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3,1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336345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1998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990,5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26,9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145,4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4,5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411,67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1999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1188,1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32,3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342,8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6,2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826,15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2000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1125,7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30,7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195,3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5,6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1210</w:t>
            </w:r>
          </w:p>
        </w:tc>
      </w:tr>
      <w:tr w:rsidR="00BA487D">
        <w:trPr>
          <w:trHeight w:val="256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2001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1252,3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34,3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554,5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6,9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1500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2002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1077,8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29,7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606,1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5,3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1786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2003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881,4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24,5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…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3,8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2029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2004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753,1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21,1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648,9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2,9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2256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2005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528,7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14,9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390,6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1,7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2546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2006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433,1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12,3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373,6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1,2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2928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2007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405,7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11,6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412,7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1,1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3410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2008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369,9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10,6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470,7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1,0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4234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2009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376,0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10,8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522,5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1,0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4640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2010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 w:firstLine="240"/>
              <w:jc w:val="right"/>
            </w:pPr>
            <w:r>
              <w:t>356,6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10,2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535,5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0,9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5012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2011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374,0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10,8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 w:firstLine="240"/>
              <w:jc w:val="right"/>
            </w:pPr>
            <w:r>
              <w:t>635,1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1,0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5702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2012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  <w:rPr>
                <w:lang w:val="en-US"/>
              </w:rPr>
            </w:pPr>
            <w:r>
              <w:t>352,9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10,1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622,5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0,9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5892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  <w:vertAlign w:val="superscript"/>
              </w:rPr>
            </w:pPr>
            <w:r>
              <w:rPr>
                <w:iCs/>
              </w:rPr>
              <w:t>201</w:t>
            </w:r>
            <w:r>
              <w:rPr>
                <w:iCs/>
                <w:lang w:val="en-US"/>
              </w:rPr>
              <w:t>3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3</w:t>
            </w:r>
            <w:r>
              <w:rPr>
                <w:lang w:val="en-US"/>
              </w:rPr>
              <w:t>87</w:t>
            </w:r>
            <w:r>
              <w:t>,0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11,</w:t>
            </w:r>
            <w:r>
              <w:rPr>
                <w:lang w:val="en-US"/>
              </w:rPr>
              <w:t>1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807,4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1,1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7089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2014</w:t>
            </w:r>
          </w:p>
        </w:tc>
        <w:tc>
          <w:tcPr>
            <w:tcW w:w="795" w:type="pct"/>
            <w:vAlign w:val="bottom"/>
          </w:tcPr>
          <w:p w:rsidR="00BA487D" w:rsidRDefault="009722FB">
            <w:pPr>
              <w:ind w:right="284"/>
              <w:jc w:val="right"/>
            </w:pPr>
            <w:r>
              <w:t>40</w:t>
            </w:r>
            <w:r>
              <w:rPr>
                <w:lang w:val="en-US"/>
              </w:rPr>
              <w:t>8</w:t>
            </w:r>
            <w:r>
              <w:t>,4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11,7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  <w:rPr>
                <w:lang w:val="en-US"/>
              </w:rPr>
            </w:pPr>
            <w:r>
              <w:t>929,1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1,2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ind w:firstLine="240"/>
              <w:jc w:val="right"/>
            </w:pPr>
            <w:r>
              <w:t>7809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201</w:t>
            </w:r>
            <w:r>
              <w:rPr>
                <w:iCs/>
                <w:lang w:val="en-US"/>
              </w:rPr>
              <w:t>5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</w:pPr>
            <w:r>
              <w:t>479,3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13,</w:t>
            </w:r>
            <w:r>
              <w:rPr>
                <w:lang w:val="en-US"/>
              </w:rPr>
              <w:t>7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1287,5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1,5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9397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2016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  <w:rPr>
                <w:lang w:val="en-US"/>
              </w:rPr>
            </w:pPr>
            <w:r>
              <w:t>48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</w:pPr>
            <w:r>
              <w:t>1265,6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5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9286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</w:rPr>
            </w:pPr>
            <w:r>
              <w:rPr>
                <w:iCs/>
              </w:rPr>
              <w:t>2017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284"/>
              <w:jc w:val="right"/>
              <w:rPr>
                <w:lang w:val="en-US"/>
              </w:rPr>
            </w:pPr>
            <w:r>
              <w:t>462,5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113"/>
              <w:jc w:val="right"/>
              <w:rPr>
                <w:lang w:val="en-US"/>
              </w:rPr>
            </w:pPr>
            <w:r>
              <w:t>1207,9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113"/>
              <w:jc w:val="right"/>
              <w:rPr>
                <w:lang w:val="en-US"/>
              </w:rPr>
            </w:pPr>
            <w:r>
              <w:t>1,5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9426</w:t>
            </w:r>
          </w:p>
        </w:tc>
      </w:tr>
      <w:tr w:rsidR="00BA487D">
        <w:trPr>
          <w:trHeight w:val="20"/>
        </w:trPr>
        <w:tc>
          <w:tcPr>
            <w:tcW w:w="804" w:type="pct"/>
            <w:vAlign w:val="center"/>
          </w:tcPr>
          <w:p w:rsidR="00BA487D" w:rsidRDefault="009722FB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2018</w:t>
            </w:r>
          </w:p>
        </w:tc>
        <w:tc>
          <w:tcPr>
            <w:tcW w:w="795" w:type="pct"/>
            <w:vAlign w:val="center"/>
          </w:tcPr>
          <w:p w:rsidR="00BA487D" w:rsidRDefault="009722FB">
            <w:pPr>
              <w:ind w:right="170"/>
              <w:jc w:val="center"/>
              <w:rPr>
                <w:vertAlign w:val="superscript"/>
              </w:rPr>
            </w:pPr>
            <w:r>
              <w:t xml:space="preserve">       447,4</w:t>
            </w:r>
          </w:p>
        </w:tc>
        <w:tc>
          <w:tcPr>
            <w:tcW w:w="895" w:type="pct"/>
            <w:vAlign w:val="center"/>
          </w:tcPr>
          <w:p w:rsidR="00BA487D" w:rsidRDefault="009722FB">
            <w:pPr>
              <w:ind w:left="-170"/>
              <w:jc w:val="center"/>
              <w:rPr>
                <w:vertAlign w:val="superscript"/>
              </w:rPr>
            </w:pPr>
            <w:r>
              <w:t xml:space="preserve">                 1</w:t>
            </w: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808" w:type="pct"/>
            <w:vAlign w:val="center"/>
          </w:tcPr>
          <w:p w:rsidR="00BA487D" w:rsidRDefault="009722FB">
            <w:pPr>
              <w:ind w:right="-57"/>
              <w:rPr>
                <w:vertAlign w:val="superscript"/>
              </w:rPr>
            </w:pPr>
            <w:r>
              <w:rPr>
                <w:iCs/>
              </w:rPr>
              <w:t xml:space="preserve">         1181,1</w:t>
            </w:r>
          </w:p>
        </w:tc>
        <w:tc>
          <w:tcPr>
            <w:tcW w:w="822" w:type="pct"/>
            <w:vAlign w:val="center"/>
          </w:tcPr>
          <w:p w:rsidR="00BA487D" w:rsidRDefault="009722FB">
            <w:pPr>
              <w:ind w:right="-57"/>
              <w:jc w:val="center"/>
              <w:rPr>
                <w:vertAlign w:val="superscript"/>
              </w:rPr>
            </w:pPr>
            <w:r>
              <w:t xml:space="preserve">             1,</w:t>
            </w:r>
            <w:r>
              <w:rPr>
                <w:lang w:val="en-US"/>
              </w:rPr>
              <w:t>4</w:t>
            </w:r>
          </w:p>
        </w:tc>
        <w:tc>
          <w:tcPr>
            <w:tcW w:w="877" w:type="pct"/>
            <w:vAlign w:val="center"/>
          </w:tcPr>
          <w:p w:rsidR="00BA487D" w:rsidRDefault="009722FB">
            <w:pPr>
              <w:jc w:val="right"/>
            </w:pPr>
            <w:r>
              <w:t>9495</w:t>
            </w:r>
          </w:p>
        </w:tc>
      </w:tr>
      <w:tr w:rsidR="00BA487D">
        <w:trPr>
          <w:trHeight w:val="20"/>
        </w:trPr>
        <w:tc>
          <w:tcPr>
            <w:tcW w:w="804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jc w:val="center"/>
              <w:rPr>
                <w:iCs/>
                <w:highlight w:val="yellow"/>
              </w:rPr>
            </w:pPr>
            <w:r>
              <w:rPr>
                <w:iCs/>
              </w:rPr>
              <w:t>2019</w:t>
            </w:r>
          </w:p>
        </w:tc>
        <w:tc>
          <w:tcPr>
            <w:tcW w:w="795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right="170"/>
              <w:jc w:val="center"/>
              <w:rPr>
                <w:highlight w:val="yellow"/>
                <w:vertAlign w:val="superscript"/>
              </w:rPr>
            </w:pPr>
            <w:r>
              <w:t xml:space="preserve">       445,2</w:t>
            </w:r>
          </w:p>
        </w:tc>
        <w:tc>
          <w:tcPr>
            <w:tcW w:w="895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left="-170"/>
              <w:rPr>
                <w:highlight w:val="yellow"/>
                <w:vertAlign w:val="superscript"/>
              </w:rPr>
            </w:pPr>
            <w:r>
              <w:t xml:space="preserve">                   12,8</w:t>
            </w:r>
          </w:p>
        </w:tc>
        <w:tc>
          <w:tcPr>
            <w:tcW w:w="808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right="-57"/>
              <w:jc w:val="center"/>
              <w:rPr>
                <w:iCs/>
                <w:highlight w:val="yellow"/>
                <w:vertAlign w:val="superscript"/>
              </w:rPr>
            </w:pPr>
            <w:r>
              <w:rPr>
                <w:iCs/>
              </w:rPr>
              <w:t xml:space="preserve">      1240,2</w:t>
            </w:r>
          </w:p>
        </w:tc>
        <w:tc>
          <w:tcPr>
            <w:tcW w:w="822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right="-57"/>
              <w:jc w:val="center"/>
              <w:rPr>
                <w:highlight w:val="yellow"/>
                <w:vertAlign w:val="superscript"/>
              </w:rPr>
            </w:pPr>
            <w:r>
              <w:t xml:space="preserve">             1,4</w:t>
            </w:r>
          </w:p>
        </w:tc>
        <w:tc>
          <w:tcPr>
            <w:tcW w:w="877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jc w:val="right"/>
            </w:pPr>
            <w:r>
              <w:t>10150</w:t>
            </w:r>
          </w:p>
        </w:tc>
      </w:tr>
      <w:tr w:rsidR="00BA487D">
        <w:trPr>
          <w:trHeight w:val="20"/>
        </w:trPr>
        <w:tc>
          <w:tcPr>
            <w:tcW w:w="804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jc w:val="center"/>
              <w:rPr>
                <w:iCs/>
                <w:highlight w:val="yellow"/>
                <w:vertAlign w:val="superscript"/>
              </w:rPr>
            </w:pPr>
            <w:r>
              <w:rPr>
                <w:iCs/>
              </w:rPr>
              <w:t>2020</w:t>
            </w:r>
          </w:p>
        </w:tc>
        <w:tc>
          <w:tcPr>
            <w:tcW w:w="795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right="170"/>
              <w:jc w:val="center"/>
              <w:rPr>
                <w:highlight w:val="yellow"/>
                <w:vertAlign w:val="superscript"/>
              </w:rPr>
            </w:pPr>
            <w:r>
              <w:t xml:space="preserve">       437,1</w:t>
            </w:r>
          </w:p>
        </w:tc>
        <w:tc>
          <w:tcPr>
            <w:tcW w:w="895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left="-170"/>
              <w:jc w:val="center"/>
              <w:rPr>
                <w:highlight w:val="yellow"/>
                <w:vertAlign w:val="superscript"/>
              </w:rPr>
            </w:pPr>
            <w:r>
              <w:t xml:space="preserve">                 12,6</w:t>
            </w:r>
          </w:p>
        </w:tc>
        <w:tc>
          <w:tcPr>
            <w:tcW w:w="808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right="-57"/>
              <w:rPr>
                <w:iCs/>
                <w:highlight w:val="yellow"/>
                <w:vertAlign w:val="superscript"/>
              </w:rPr>
            </w:pPr>
            <w:r>
              <w:rPr>
                <w:iCs/>
              </w:rPr>
              <w:t xml:space="preserve">         1295,7</w:t>
            </w:r>
          </w:p>
        </w:tc>
        <w:tc>
          <w:tcPr>
            <w:tcW w:w="822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ind w:right="-57"/>
              <w:jc w:val="center"/>
              <w:rPr>
                <w:highlight w:val="yellow"/>
                <w:vertAlign w:val="superscript"/>
              </w:rPr>
            </w:pPr>
            <w:r>
              <w:t xml:space="preserve">             1,4</w:t>
            </w:r>
          </w:p>
        </w:tc>
        <w:tc>
          <w:tcPr>
            <w:tcW w:w="877" w:type="pct"/>
            <w:tcBorders>
              <w:bottom w:val="single" w:sz="4" w:space="0" w:color="000000"/>
            </w:tcBorders>
            <w:vAlign w:val="center"/>
          </w:tcPr>
          <w:p w:rsidR="00BA487D" w:rsidRDefault="009722FB">
            <w:pPr>
              <w:jc w:val="right"/>
            </w:pPr>
            <w:r>
              <w:t>11083</w:t>
            </w:r>
          </w:p>
        </w:tc>
      </w:tr>
    </w:tbl>
    <w:p w:rsidR="00BA487D" w:rsidRDefault="009722FB">
      <w:pPr>
        <w:keepNext/>
        <w:keepLines/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1) </w:t>
      </w:r>
      <w:r>
        <w:rPr>
          <w:sz w:val="19"/>
          <w:szCs w:val="19"/>
        </w:rPr>
        <w:t>Оценка на основе материалов выборочного обследования домашних хозяйств и макроэкономического показателя среднедушевых денежных доходов населения. Показатели с 2013 г. рассчитаны с использованием величины макроэкономического показателя среднедушевых денежны</w:t>
      </w:r>
      <w:r>
        <w:rPr>
          <w:sz w:val="19"/>
          <w:szCs w:val="19"/>
        </w:rPr>
        <w:t>х доходов населения, определенной в соответствии с Методологическими положениями по расчету показателей денежных доходов и расходов населения (приказ Росстата от 2 июля 2014 г. № 465 с изменениями от 20 ноября 2018 г.).</w:t>
      </w:r>
    </w:p>
    <w:p w:rsidR="00BA487D" w:rsidRDefault="009722FB">
      <w:pPr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 xml:space="preserve">2)    </w:t>
      </w:r>
      <w:r>
        <w:rPr>
          <w:sz w:val="19"/>
          <w:szCs w:val="19"/>
        </w:rPr>
        <w:t>С 2011 года данные приведены с</w:t>
      </w:r>
      <w:r>
        <w:rPr>
          <w:sz w:val="19"/>
          <w:szCs w:val="19"/>
        </w:rPr>
        <w:t xml:space="preserve"> учетом итогов Всероссийской переписи населения 2020 года.</w:t>
      </w:r>
    </w:p>
    <w:p w:rsidR="00BA487D" w:rsidRDefault="009722FB">
      <w:pPr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t>3)</w:t>
      </w:r>
      <w:r>
        <w:rPr>
          <w:sz w:val="19"/>
          <w:szCs w:val="19"/>
        </w:rPr>
        <w:t xml:space="preserve"> С 2000 г. изменена методология расчета величины прожиточного минимума. С 2005 г. изменен состав потребительской корзины для определения величины прожиточного минимума. С 2013 г. изменен порядок </w:t>
      </w:r>
      <w:r>
        <w:rPr>
          <w:sz w:val="19"/>
          <w:szCs w:val="19"/>
        </w:rPr>
        <w:t xml:space="preserve">расчета величины прожиточного минимума. </w:t>
      </w:r>
    </w:p>
    <w:sectPr w:rsidR="00BA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FB" w:rsidRDefault="009722FB">
      <w:r>
        <w:separator/>
      </w:r>
    </w:p>
  </w:endnote>
  <w:endnote w:type="continuationSeparator" w:id="0">
    <w:p w:rsidR="009722FB" w:rsidRDefault="0097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FB" w:rsidRDefault="009722FB">
      <w:r>
        <w:separator/>
      </w:r>
    </w:p>
  </w:footnote>
  <w:footnote w:type="continuationSeparator" w:id="0">
    <w:p w:rsidR="009722FB" w:rsidRDefault="0097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7D"/>
    <w:rsid w:val="006F3DD2"/>
    <w:rsid w:val="007C5AC4"/>
    <w:rsid w:val="009722FB"/>
    <w:rsid w:val="00B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ESevastjyanova</dc:creator>
  <cp:lastModifiedBy>ESevastjyanova</cp:lastModifiedBy>
  <cp:revision>2</cp:revision>
  <dcterms:created xsi:type="dcterms:W3CDTF">2024-05-15T04:06:00Z</dcterms:created>
  <dcterms:modified xsi:type="dcterms:W3CDTF">2024-05-15T04:06:00Z</dcterms:modified>
  <cp:version>1048576</cp:version>
</cp:coreProperties>
</file>